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sz w:val="48"/>
          <w:szCs w:val="48"/>
        </w:rPr>
      </w:pPr>
      <w:bookmarkStart w:colFirst="0" w:colLast="0" w:name="_gjdgxs" w:id="0"/>
      <w:bookmarkEnd w:id="0"/>
      <w:r w:rsidDel="00000000" w:rsidR="00000000" w:rsidRPr="00000000">
        <w:rPr>
          <w:rFonts w:ascii="Cambria" w:cs="Cambria" w:eastAsia="Cambria" w:hAnsi="Cambria"/>
          <w:b w:val="1"/>
          <w:sz w:val="48"/>
          <w:szCs w:val="48"/>
          <w:rtl w:val="0"/>
        </w:rPr>
        <w:t xml:space="preserve">Beginning Theatre</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Course Syllabus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Hopewell High School</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Ms. Allemond</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24"/>
          <w:szCs w:val="24"/>
        </w:rPr>
      </w:pPr>
      <w:hyperlink r:id="rId6">
        <w:r w:rsidDel="00000000" w:rsidR="00000000" w:rsidRPr="00000000">
          <w:rPr>
            <w:rFonts w:ascii="Cambria" w:cs="Cambria" w:eastAsia="Cambria" w:hAnsi="Cambria"/>
            <w:color w:val="0563c1"/>
            <w:sz w:val="24"/>
            <w:szCs w:val="24"/>
            <w:u w:val="single"/>
            <w:rtl w:val="0"/>
          </w:rPr>
          <w:t xml:space="preserve">Lilianv.allemond@cms.k12.nc.us</w:t>
        </w:r>
      </w:hyperlink>
      <w:r w:rsidDel="00000000" w:rsidR="00000000" w:rsidRPr="00000000">
        <w:fldChar w:fldCharType="begin"/>
        <w:instrText xml:space="preserve"> HYPERLINK "mailto:Lilianv.allemond@cms.k12.nc.us" </w:instrText>
        <w:fldChar w:fldCharType="separate"/>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24"/>
          <w:szCs w:val="24"/>
        </w:rPr>
      </w:pPr>
      <w:r w:rsidDel="00000000" w:rsidR="00000000" w:rsidRPr="00000000">
        <w:fldChar w:fldCharType="end"/>
      </w:r>
      <w:r w:rsidDel="00000000" w:rsidR="00000000" w:rsidRPr="00000000">
        <w:rPr>
          <w:rFonts w:ascii="Cambria" w:cs="Cambria" w:eastAsia="Cambria" w:hAnsi="Cambria"/>
          <w:sz w:val="24"/>
          <w:szCs w:val="24"/>
          <w:rtl w:val="0"/>
        </w:rPr>
        <w:t xml:space="preserve">Room 847 </w:t>
      </w:r>
    </w:p>
    <w:tbl>
      <w:tblPr>
        <w:tblStyle w:val="Table1"/>
        <w:tblW w:w="9350.0" w:type="dxa"/>
        <w:jc w:val="left"/>
        <w:tblInd w:w="0.0" w:type="dxa"/>
        <w:tblLayout w:type="fixed"/>
        <w:tblLook w:val="04A0"/>
      </w:tblPr>
      <w:tblGrid>
        <w:gridCol w:w="3116"/>
        <w:gridCol w:w="3117"/>
        <w:gridCol w:w="3117"/>
        <w:tblGridChange w:id="0">
          <w:tblGrid>
            <w:gridCol w:w="3116"/>
            <w:gridCol w:w="3117"/>
            <w:gridCol w:w="3117"/>
          </w:tblGrid>
        </w:tblGridChange>
      </w:tblGrid>
      <w:tr>
        <w:tc>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Course Description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Beginning Theatre is designed to be course for all students, ranging from those with a desire to learn more about Theatre Arts to those who are familiar with the stage. This course will serve as an introduction to all facets of theatre and is a prerequisite for Intermediate Theatre.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Course Objective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Students will explore and develop skills in the following areas of theatrical study: </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Voice and diction </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Movement </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Pantomime</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Characterization </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Improvisation </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Creative problem solving</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Script Analysis </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Audience etiquette</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Introduction to acting methods and theories</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Theatre History </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Introduction of Technical theatre, including props, scenic work, lights, sound, and costuming </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Rehearsal structure and etiquette </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Performance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180"/>
          <w:tab w:val="left" w:pos="1875"/>
        </w:tabs>
        <w:contextualSpacing w:val="0"/>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Final Exam</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left" w:pos="1275"/>
        </w:tabs>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part of the final exam grade, each student is </w:t>
      </w:r>
      <w:r w:rsidDel="00000000" w:rsidR="00000000" w:rsidRPr="00000000">
        <w:rPr>
          <w:rFonts w:ascii="Cambria" w:cs="Cambria" w:eastAsia="Cambria" w:hAnsi="Cambria"/>
          <w:b w:val="1"/>
          <w:sz w:val="24"/>
          <w:szCs w:val="24"/>
          <w:u w:val="single"/>
          <w:rtl w:val="0"/>
        </w:rPr>
        <w:t xml:space="preserve">required to participate in a one night performance</w:t>
      </w:r>
      <w:r w:rsidDel="00000000" w:rsidR="00000000" w:rsidRPr="00000000">
        <w:rPr>
          <w:rFonts w:ascii="Cambria" w:cs="Cambria" w:eastAsia="Cambria" w:hAnsi="Cambria"/>
          <w:sz w:val="24"/>
          <w:szCs w:val="24"/>
          <w:rtl w:val="0"/>
        </w:rPr>
        <w:t xml:space="preserve"> at the end of course. The instructor will announce call times with ample time to plan. Failure to attend the performance will result in a 0 for that portion of the final.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E">
      <w:pPr>
        <w:contextualSpacing w:val="0"/>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1F">
      <w:pPr>
        <w:contextualSpacing w:val="0"/>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Class Fee</w:t>
      </w:r>
    </w:p>
    <w:p w:rsidR="00000000" w:rsidDel="00000000" w:rsidP="00000000" w:rsidRDefault="00000000" w:rsidRPr="00000000" w14:paraId="00000020">
      <w:pPr>
        <w:contextualSpacing w:val="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As with all Fine Arts classes, there is a class fee associated with Proficient, and Advanced Theatre. The fee is $15 per student and can be paid via Online School Payment found on the Hopewell website. From there simply choose the Drama/Theatre option and the funds will be immediately forwarded to the appropriate place. These fees go towards purchasing scripts, building materials, etc. necessary for the class. If you would like to make a donation of a consumable supply, see Ms. Allemond for details.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Student Evaluation</w:t>
      </w:r>
    </w:p>
    <w:tbl>
      <w:tblPr>
        <w:tblStyle w:val="Table2"/>
        <w:tblW w:w="9361.0" w:type="dxa"/>
        <w:jc w:val="left"/>
        <w:tblInd w:w="0.0" w:type="dxa"/>
        <w:tblLayout w:type="fixed"/>
        <w:tblLook w:val="0400"/>
      </w:tblPr>
      <w:tblGrid>
        <w:gridCol w:w="4516"/>
        <w:gridCol w:w="810"/>
        <w:gridCol w:w="4035"/>
        <w:tblGridChange w:id="0">
          <w:tblGrid>
            <w:gridCol w:w="4516"/>
            <w:gridCol w:w="810"/>
            <w:gridCol w:w="4035"/>
          </w:tblGrid>
        </w:tblGridChange>
      </w:tblGrid>
      <w:tr>
        <w:tc>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Informal assessments: warm-ups, journal checks, quizzes, group work, in-class tasks, class participation, etc.</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Formal assessments: tests, comprehensive writing assignments, projects, performances, etc.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30% of quarter grade (school wide)</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70% of quarter grade (school wide)</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color w:val="000000"/>
          <w:sz w:val="24"/>
          <w:szCs w:val="24"/>
          <w:u w:val="single"/>
          <w:rtl w:val="0"/>
        </w:rPr>
        <w:t xml:space="preserve">Late Work:</w:t>
      </w:r>
      <w:r w:rsidDel="00000000" w:rsidR="00000000" w:rsidRPr="00000000">
        <w:rPr>
          <w:rFonts w:ascii="Cambria" w:cs="Cambria" w:eastAsia="Cambria" w:hAnsi="Cambria"/>
          <w:color w:val="000000"/>
          <w:sz w:val="24"/>
          <w:szCs w:val="24"/>
          <w:rtl w:val="0"/>
        </w:rPr>
        <w:t xml:space="preserve"> Students will receive a maximum 75% grade for work showing a concerted effort, if turned in by the beginning of the next class meeting. After this, late work showing concerted effort will receive a 50% grade if turned in prior to the first day of the published exam schedule for each quarter.</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Behavior Expectations/Policies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b w:val="1"/>
          <w:sz w:val="20"/>
          <w:szCs w:val="20"/>
        </w:rPr>
      </w:pPr>
      <w:r w:rsidDel="00000000" w:rsidR="00000000" w:rsidRPr="00000000">
        <w:rPr>
          <w:rtl w:val="0"/>
        </w:rPr>
      </w:r>
    </w:p>
    <w:tbl>
      <w:tblPr>
        <w:tblStyle w:val="Table3"/>
        <w:tblW w:w="4875.0" w:type="dxa"/>
        <w:jc w:val="left"/>
        <w:tblInd w:w="0.0" w:type="dxa"/>
        <w:tblLayout w:type="fixed"/>
        <w:tblLook w:val="0400"/>
      </w:tblPr>
      <w:tblGrid>
        <w:gridCol w:w="766"/>
        <w:gridCol w:w="4109"/>
        <w:tblGridChange w:id="0">
          <w:tblGrid>
            <w:gridCol w:w="766"/>
            <w:gridCol w:w="4109"/>
          </w:tblGrid>
        </w:tblGridChange>
      </w:tblGrid>
      <w:tr>
        <w:trPr>
          <w:trHeight w:val="660" w:hRule="atLeast"/>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Classroom</w:t>
            </w:r>
          </w:p>
        </w:tc>
      </w:tr>
      <w:tr>
        <w:trPr>
          <w:trHeight w:val="940" w:hRule="atLeast"/>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H</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Honor</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*Do your own work.</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*Follow “Stop Light” Cell phone policy.</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*Be courteous to everyone.</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0"/>
                <w:szCs w:val="20"/>
              </w:rPr>
            </w:pPr>
            <w:r w:rsidDel="00000000" w:rsidR="00000000" w:rsidRPr="00000000">
              <w:rPr>
                <w:rtl w:val="0"/>
              </w:rPr>
            </w:r>
          </w:p>
        </w:tc>
      </w:tr>
      <w:tr>
        <w:trPr>
          <w:trHeight w:val="1080" w:hRule="atLeast"/>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 D</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Duty</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*Arrive on time and prepared.</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*Complete assignments on time.</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*Be accountable for your own learning.</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*Follow all procedures for entering and exiting the room.</w:t>
            </w:r>
          </w:p>
        </w:tc>
      </w:tr>
      <w:tr>
        <w:trPr>
          <w:trHeight w:val="840" w:hRule="atLeast"/>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U</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Unity</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*Work well with other students.</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*Work together to maintain a clean, organized environment.</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*Follow teachers’ directions.</w:t>
            </w:r>
          </w:p>
        </w:tc>
      </w:tr>
      <w:tr>
        <w:trPr>
          <w:trHeight w:val="360" w:hRule="atLeast"/>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B</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Belief</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u w:val="single"/>
                <w:rtl w:val="0"/>
              </w:rPr>
              <w:t xml:space="preserve">You</w:t>
            </w:r>
            <w:r w:rsidDel="00000000" w:rsidR="00000000" w:rsidRPr="00000000">
              <w:rPr>
                <w:rFonts w:ascii="Cambria" w:cs="Cambria" w:eastAsia="Cambria" w:hAnsi="Cambria"/>
                <w:b w:val="1"/>
                <w:sz w:val="20"/>
                <w:szCs w:val="20"/>
                <w:rtl w:val="0"/>
              </w:rPr>
              <w:t xml:space="preserve"> </w:t>
            </w:r>
            <w:r w:rsidDel="00000000" w:rsidR="00000000" w:rsidRPr="00000000">
              <w:rPr>
                <w:rFonts w:ascii="Cambria" w:cs="Cambria" w:eastAsia="Cambria" w:hAnsi="Cambria"/>
                <w:b w:val="1"/>
                <w:sz w:val="20"/>
                <w:szCs w:val="20"/>
                <w:u w:val="single"/>
                <w:rtl w:val="0"/>
              </w:rPr>
              <w:t xml:space="preserve">can</w:t>
            </w:r>
            <w:r w:rsidDel="00000000" w:rsidR="00000000" w:rsidRPr="00000000">
              <w:rPr>
                <w:rFonts w:ascii="Cambria" w:cs="Cambria" w:eastAsia="Cambria" w:hAnsi="Cambria"/>
                <w:b w:val="1"/>
                <w:sz w:val="20"/>
                <w:szCs w:val="20"/>
                <w:rtl w:val="0"/>
              </w:rPr>
              <w:t xml:space="preserve"> be successful.</w:t>
            </w:r>
          </w:p>
        </w:tc>
      </w:tr>
    </w:tbl>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Required Materials: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Spiral Notebook or Composition Book (We will use these all year so be sure to have them!)</w:t>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Pen/Pencil </w:t>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Highlighters (optional)</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8">
      <w:pPr>
        <w:spacing w:before="40" w:line="288" w:lineRule="auto"/>
        <w:contextualSpacing w:val="0"/>
        <w:jc w:val="center"/>
        <w:rPr>
          <w:rFonts w:ascii="Cambria" w:cs="Cambria" w:eastAsia="Cambria" w:hAnsi="Cambria"/>
          <w:color w:val="595959"/>
          <w:sz w:val="26"/>
          <w:szCs w:val="26"/>
        </w:rPr>
      </w:pPr>
      <w:r w:rsidDel="00000000" w:rsidR="00000000" w:rsidRPr="00000000">
        <w:rPr>
          <w:rFonts w:ascii="Cambria" w:cs="Cambria" w:eastAsia="Cambria" w:hAnsi="Cambria"/>
          <w:color w:val="595959"/>
          <w:sz w:val="26"/>
          <w:szCs w:val="26"/>
          <w:rtl w:val="0"/>
        </w:rPr>
        <w:t xml:space="preserve">Want to Make a Donation to Hopewell Theatre? Check out our new Amazon Wish List!</w:t>
      </w:r>
    </w:p>
    <w:p w:rsidR="00000000" w:rsidDel="00000000" w:rsidP="00000000" w:rsidRDefault="00000000" w:rsidRPr="00000000" w14:paraId="00000059">
      <w:pPr>
        <w:spacing w:before="40" w:line="288" w:lineRule="auto"/>
        <w:contextualSpacing w:val="0"/>
        <w:jc w:val="center"/>
        <w:rPr>
          <w:rFonts w:ascii="Cambria" w:cs="Cambria" w:eastAsia="Cambria" w:hAnsi="Cambria"/>
          <w:color w:val="111111"/>
          <w:sz w:val="24"/>
          <w:szCs w:val="24"/>
          <w:highlight w:val="white"/>
        </w:rPr>
      </w:pPr>
      <w:r w:rsidDel="00000000" w:rsidR="00000000" w:rsidRPr="00000000">
        <w:rPr>
          <w:rFonts w:ascii="Cambria" w:cs="Cambria" w:eastAsia="Cambria" w:hAnsi="Cambria"/>
          <w:b w:val="1"/>
          <w:color w:val="111111"/>
          <w:sz w:val="24"/>
          <w:szCs w:val="24"/>
          <w:highlight w:val="white"/>
          <w:rtl w:val="0"/>
        </w:rPr>
        <w:t xml:space="preserve">Hopewell Theatre Wish List</w:t>
      </w:r>
      <w:r w:rsidDel="00000000" w:rsidR="00000000" w:rsidRPr="00000000">
        <w:rPr>
          <w:rFonts w:ascii="Cambria" w:cs="Cambria" w:eastAsia="Cambria" w:hAnsi="Cambria"/>
          <w:color w:val="111111"/>
          <w:sz w:val="24"/>
          <w:szCs w:val="24"/>
          <w:highlight w:val="white"/>
          <w:rtl w:val="0"/>
        </w:rPr>
        <w:t xml:space="preserve"> </w:t>
      </w:r>
    </w:p>
    <w:p w:rsidR="00000000" w:rsidDel="00000000" w:rsidP="00000000" w:rsidRDefault="00000000" w:rsidRPr="00000000" w14:paraId="0000005A">
      <w:pPr>
        <w:spacing w:before="40" w:line="288" w:lineRule="auto"/>
        <w:contextualSpacing w:val="0"/>
        <w:jc w:val="center"/>
        <w:rPr>
          <w:rFonts w:ascii="Cambria" w:cs="Cambria" w:eastAsia="Cambria" w:hAnsi="Cambria"/>
          <w:color w:val="111111"/>
          <w:sz w:val="20"/>
          <w:szCs w:val="20"/>
          <w:highlight w:val="white"/>
        </w:rPr>
      </w:pPr>
      <w:r w:rsidDel="00000000" w:rsidR="00000000" w:rsidRPr="00000000">
        <w:rPr>
          <w:rFonts w:ascii="Cambria" w:cs="Cambria" w:eastAsia="Cambria" w:hAnsi="Cambria"/>
          <w:b w:val="1"/>
          <w:color w:val="111111"/>
          <w:sz w:val="24"/>
          <w:szCs w:val="24"/>
          <w:highlight w:val="white"/>
          <w:rtl w:val="0"/>
        </w:rPr>
        <w:t xml:space="preserve">Link:</w:t>
      </w:r>
      <w:r w:rsidDel="00000000" w:rsidR="00000000" w:rsidRPr="00000000">
        <w:rPr>
          <w:rFonts w:ascii="Cambria" w:cs="Cambria" w:eastAsia="Cambria" w:hAnsi="Cambria"/>
          <w:color w:val="111111"/>
          <w:sz w:val="24"/>
          <w:szCs w:val="24"/>
          <w:highlight w:val="white"/>
          <w:rtl w:val="0"/>
        </w:rPr>
        <w:t xml:space="preserve"> </w:t>
      </w:r>
      <w:hyperlink r:id="rId7">
        <w:r w:rsidDel="00000000" w:rsidR="00000000" w:rsidRPr="00000000">
          <w:rPr>
            <w:rFonts w:ascii="Cambria" w:cs="Cambria" w:eastAsia="Cambria" w:hAnsi="Cambria"/>
            <w:color w:val="1155cc"/>
            <w:sz w:val="24"/>
            <w:szCs w:val="24"/>
            <w:highlight w:val="white"/>
            <w:u w:val="single"/>
            <w:rtl w:val="0"/>
          </w:rPr>
          <w:t xml:space="preserve">http://a.co/6cRkWWc</w:t>
        </w:r>
      </w:hyperlink>
      <w:r w:rsidDel="00000000" w:rsidR="00000000" w:rsidRPr="00000000">
        <w:rPr>
          <w:rtl w:val="0"/>
        </w:rPr>
      </w:r>
    </w:p>
    <w:p w:rsidR="00000000" w:rsidDel="00000000" w:rsidP="00000000" w:rsidRDefault="00000000" w:rsidRPr="00000000" w14:paraId="0000005B">
      <w:pPr>
        <w:spacing w:before="40" w:line="288" w:lineRule="auto"/>
        <w:contextualSpacing w:val="0"/>
        <w:jc w:val="center"/>
        <w:rPr>
          <w:rFonts w:ascii="Cambria" w:cs="Cambria" w:eastAsia="Cambria" w:hAnsi="Cambria"/>
          <w:color w:val="111111"/>
          <w:sz w:val="24"/>
          <w:szCs w:val="24"/>
          <w:highlight w:val="white"/>
        </w:rPr>
      </w:pPr>
      <w:r w:rsidDel="00000000" w:rsidR="00000000" w:rsidRPr="00000000">
        <w:rPr>
          <w:rFonts w:ascii="Cambria" w:cs="Cambria" w:eastAsia="Cambria" w:hAnsi="Cambria"/>
          <w:color w:val="111111"/>
          <w:sz w:val="24"/>
          <w:szCs w:val="24"/>
          <w:highlight w:val="white"/>
          <w:rtl w:val="0"/>
        </w:rPr>
        <w:t xml:space="preserve">The items on our Wish List are consumable things that we go through each year that I cannot get through typical means. We go through these materials for each production and any and all donations are greatly appreciated!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Return this section to teacher:</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Please read and sign below</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i w:val="1"/>
          <w:sz w:val="24"/>
          <w:szCs w:val="24"/>
          <w:u w:val="single"/>
        </w:rPr>
      </w:pPr>
      <w:r w:rsidDel="00000000" w:rsidR="00000000" w:rsidRPr="00000000">
        <w:rPr>
          <w:rFonts w:ascii="Cambria" w:cs="Cambria" w:eastAsia="Cambria" w:hAnsi="Cambria"/>
          <w:i w:val="1"/>
          <w:sz w:val="24"/>
          <w:szCs w:val="24"/>
          <w:rtl w:val="0"/>
        </w:rPr>
        <w:t xml:space="preserve">I have read the information in the syllabus to include course objectives, course requirements, and policies. I fully understand what I’m expected to do in class. </w:t>
      </w:r>
      <w:r w:rsidDel="00000000" w:rsidR="00000000" w:rsidRPr="00000000">
        <w:rPr>
          <w:rFonts w:ascii="Cambria" w:cs="Cambria" w:eastAsia="Cambria" w:hAnsi="Cambria"/>
          <w:b w:val="1"/>
          <w:i w:val="1"/>
          <w:sz w:val="24"/>
          <w:szCs w:val="24"/>
          <w:u w:val="single"/>
          <w:rtl w:val="0"/>
        </w:rPr>
        <w:t xml:space="preserve">I understand that this course has a class free attached and that  I will be required to participate in an after school event as a  formal performance grade to fulfill part of my final exam.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Student Signature:</w:t>
        <w:tab/>
        <w:tab/>
        <w:t xml:space="preserve"> </w:t>
        <w:tab/>
        <w:t xml:space="preserve">____________________________________</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Parent / Guardian Signature </w:t>
        <w:tab/>
        <w:t xml:space="preserve">___________________________________</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Date:</w:t>
        <w:tab/>
        <w:tab/>
        <w:tab/>
        <w:tab/>
        <w:tab/>
        <w:t xml:space="preserve">____________________________________</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i w:val="1"/>
          <w:color w:val="ff0000"/>
          <w:sz w:val="20"/>
          <w:szCs w:val="2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left" w:pos="2010"/>
        </w:tabs>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jc w:val="center"/>
        <w:rPr>
          <w:rFonts w:ascii="Balthazar" w:cs="Balthazar" w:eastAsia="Balthazar" w:hAnsi="Balthazar"/>
          <w:b w:val="1"/>
          <w:sz w:val="24"/>
          <w:szCs w:val="24"/>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jc w:val="center"/>
        <w:rPr>
          <w:rFonts w:ascii="Balthazar" w:cs="Balthazar" w:eastAsia="Balthazar" w:hAnsi="Balthazar"/>
          <w:b w:val="1"/>
          <w:sz w:val="24"/>
          <w:szCs w:val="24"/>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jc w:val="center"/>
        <w:rPr>
          <w:rFonts w:ascii="Balthazar" w:cs="Balthazar" w:eastAsia="Balthazar" w:hAnsi="Balthazar"/>
          <w:b w:val="1"/>
          <w:sz w:val="40"/>
          <w:szCs w:val="40"/>
        </w:rPr>
      </w:pPr>
      <w:r w:rsidDel="00000000" w:rsidR="00000000" w:rsidRPr="00000000">
        <w:rPr>
          <w:rtl w:val="0"/>
        </w:rPr>
      </w:r>
    </w:p>
    <w:sectPr>
      <w:headerReference r:id="rId8"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Arial"/>
  <w:font w:name="Balthazar">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contextualSpacing w:val="0"/>
      <w:jc w:val="right"/>
      <w:rPr/>
    </w:pPr>
    <w:r w:rsidDel="00000000" w:rsidR="00000000" w:rsidRPr="00000000">
      <w:rPr/>
      <w:drawing>
        <wp:inline distB="114300" distT="114300" distL="114300" distR="114300">
          <wp:extent cx="785813" cy="764404"/>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85813" cy="76440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tblStylePr w:type="band1Horz">
      <w:pPr/>
      <w:rPr/>
      <w:tcPr>
        <w:shd w:fill="f2f2f2" w:val="clear"/>
        <w:tcMar>
          <w:top w:w="0.0" w:type="dxa"/>
          <w:left w:w="115.0" w:type="dxa"/>
          <w:bottom w:w="0.0" w:type="dxa"/>
          <w:right w:w="115.0" w:type="dxa"/>
        </w:tcMar>
      </w:tcPr>
    </w:tblStylePr>
    <w:tblStylePr w:type="band1Vert">
      <w:pPr/>
      <w:rPr/>
      <w:tcPr>
        <w:shd w:fill="f2f2f2" w:val="clear"/>
        <w:tcMar>
          <w:top w:w="0.0" w:type="dxa"/>
          <w:left w:w="115.0" w:type="dxa"/>
          <w:bottom w:w="0.0" w:type="dxa"/>
          <w:right w:w="115.0" w:type="dxa"/>
        </w:tcMar>
      </w:tcPr>
    </w:tblStylePr>
    <w:tblStylePr w:type="firstCol">
      <w:pPr/>
      <w:rPr>
        <w:b w:val="1"/>
        <w:smallCaps w:val="1"/>
      </w:rPr>
      <w:tcPr>
        <w:tcBorders>
          <w:right w:color="7f7f7f" w:space="0" w:sz="4" w:val="single"/>
        </w:tcBorders>
        <w:tcMar>
          <w:top w:w="0.0" w:type="dxa"/>
          <w:left w:w="115.0" w:type="dxa"/>
          <w:bottom w:w="0.0" w:type="dxa"/>
          <w:right w:w="115.0" w:type="dxa"/>
        </w:tcMar>
      </w:tcPr>
    </w:tblStylePr>
    <w:tblStylePr w:type="firstRow">
      <w:pPr/>
      <w:rPr>
        <w:b w:val="1"/>
        <w:smallCaps w:val="1"/>
      </w:rPr>
      <w:tcPr>
        <w:tcBorders>
          <w:bottom w:color="7f7f7f" w:space="0" w:sz="4" w:val="single"/>
        </w:tcBorders>
        <w:tcMar>
          <w:top w:w="0.0" w:type="dxa"/>
          <w:left w:w="115.0" w:type="dxa"/>
          <w:bottom w:w="0.0" w:type="dxa"/>
          <w:right w:w="115.0" w:type="dxa"/>
        </w:tcMar>
      </w:tcPr>
    </w:tblStylePr>
    <w:tblStylePr w:type="lastCol">
      <w:pPr/>
      <w:rPr>
        <w:b w:val="1"/>
        <w:smallCaps w:val="1"/>
      </w:rPr>
      <w:tcPr>
        <w:tcBorders>
          <w:left w:color="000000" w:space="0" w:sz="0" w:val="nil"/>
        </w:tcBorders>
        <w:tcMar>
          <w:top w:w="0.0" w:type="dxa"/>
          <w:left w:w="115.0" w:type="dxa"/>
          <w:bottom w:w="0.0" w:type="dxa"/>
          <w:right w:w="115.0" w:type="dxa"/>
        </w:tcMar>
      </w:tcPr>
    </w:tblStylePr>
    <w:tblStylePr w:type="lastRow">
      <w:pPr/>
      <w:rPr>
        <w:b w:val="1"/>
        <w:smallCaps w:val="1"/>
      </w:rPr>
      <w:tcPr>
        <w:tcBorders>
          <w:top w:color="000000" w:space="0" w:sz="0" w:val="nil"/>
        </w:tcBorders>
        <w:tcMar>
          <w:top w:w="0.0" w:type="dxa"/>
          <w:left w:w="115.0" w:type="dxa"/>
          <w:bottom w:w="0.0" w:type="dxa"/>
          <w:right w:w="115.0" w:type="dxa"/>
        </w:tcMar>
      </w:tcPr>
    </w:tblStylePr>
    <w:tblStylePr w:type="neCell">
      <w:pPr/>
      <w:rPr/>
      <w:tcPr>
        <w:tcBorders>
          <w:left w:color="000000" w:space="0" w:sz="0" w:val="nil"/>
        </w:tcBorders>
        <w:tcMar>
          <w:top w:w="0.0" w:type="dxa"/>
          <w:left w:w="115.0" w:type="dxa"/>
          <w:bottom w:w="0.0" w:type="dxa"/>
          <w:right w:w="115.0" w:type="dxa"/>
        </w:tcMar>
      </w:tcPr>
    </w:tblStylePr>
    <w:tblStylePr w:type="nwCell">
      <w:pPr/>
      <w:rPr/>
      <w:tcPr>
        <w:tcBorders>
          <w:right w:color="000000" w:space="0" w:sz="0" w:val="nil"/>
        </w:tcBorders>
        <w:tcMar>
          <w:top w:w="0.0" w:type="dxa"/>
          <w:left w:w="115.0" w:type="dxa"/>
          <w:bottom w:w="0.0" w:type="dxa"/>
          <w:right w:w="115.0" w:type="dxa"/>
        </w:tcMar>
      </w:tcPr>
    </w:tblStyle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ilianv.allemond@cms.k12.nc.us" TargetMode="External"/><Relationship Id="rId7" Type="http://schemas.openxmlformats.org/officeDocument/2006/relationships/hyperlink" Target="http://a.co/6cRkWWc"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althazar-regular.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