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Balthazar" w:cs="Balthazar" w:eastAsia="Balthazar" w:hAnsi="Balthazar"/>
          <w:b w:val="1"/>
          <w:sz w:val="48"/>
          <w:szCs w:val="48"/>
        </w:rPr>
      </w:pPr>
      <w:r w:rsidDel="00000000" w:rsidR="00000000" w:rsidRPr="00000000">
        <w:rPr>
          <w:rFonts w:ascii="Balthazar" w:cs="Balthazar" w:eastAsia="Balthazar" w:hAnsi="Balthazar"/>
          <w:b w:val="1"/>
          <w:sz w:val="48"/>
          <w:szCs w:val="48"/>
          <w:rtl w:val="0"/>
        </w:rPr>
        <w:t xml:space="preserve">Honors Theatre</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Course Syllabus</w:t>
      </w:r>
    </w:p>
    <w:p w:rsidR="00000000" w:rsidDel="00000000" w:rsidP="00000000" w:rsidRDefault="00000000" w:rsidRPr="00000000" w14:paraId="00000002">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Hopewell High School</w:t>
      </w:r>
    </w:p>
    <w:p w:rsidR="00000000" w:rsidDel="00000000" w:rsidP="00000000" w:rsidRDefault="00000000" w:rsidRPr="00000000" w14:paraId="00000003">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Ms. Allemond</w:t>
      </w:r>
    </w:p>
    <w:p w:rsidR="00000000" w:rsidDel="00000000" w:rsidP="00000000" w:rsidRDefault="00000000" w:rsidRPr="00000000" w14:paraId="00000004">
      <w:pPr>
        <w:contextualSpacing w:val="0"/>
        <w:jc w:val="center"/>
        <w:rPr>
          <w:rFonts w:ascii="Arial" w:cs="Arial" w:eastAsia="Arial" w:hAnsi="Arial"/>
          <w:sz w:val="24"/>
          <w:szCs w:val="24"/>
        </w:rPr>
      </w:pPr>
      <w:hyperlink r:id="rId6">
        <w:r w:rsidDel="00000000" w:rsidR="00000000" w:rsidRPr="00000000">
          <w:rPr>
            <w:rFonts w:ascii="Arial" w:cs="Arial" w:eastAsia="Arial" w:hAnsi="Arial"/>
            <w:color w:val="0563c1"/>
            <w:sz w:val="24"/>
            <w:szCs w:val="24"/>
            <w:u w:val="single"/>
            <w:rtl w:val="0"/>
          </w:rPr>
          <w:t xml:space="preserve">Lilianv.allemond@cms.k12.nc.us</w:t>
        </w:r>
      </w:hyperlink>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Room 847 </w:t>
      </w:r>
    </w:p>
    <w:p w:rsidR="00000000" w:rsidDel="00000000" w:rsidP="00000000" w:rsidRDefault="00000000" w:rsidRPr="00000000" w14:paraId="00000006">
      <w:pPr>
        <w:contextualSpacing w:val="0"/>
        <w:jc w:val="center"/>
        <w:rPr>
          <w:rFonts w:ascii="Arial" w:cs="Arial" w:eastAsia="Arial" w:hAnsi="Arial"/>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Description </w:t>
      </w:r>
    </w:p>
    <w:p w:rsidR="00000000" w:rsidDel="00000000" w:rsidP="00000000" w:rsidRDefault="00000000" w:rsidRPr="00000000" w14:paraId="0000000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Proficient and Advanced Theatre are continuations of the course and require more rigor than the lower levels. This is an audition-only course, and you have been selected for this course based on your audition and passion for your craft. Congratulations!</w:t>
      </w:r>
    </w:p>
    <w:p w:rsidR="00000000" w:rsidDel="00000000" w:rsidP="00000000" w:rsidRDefault="00000000" w:rsidRPr="00000000" w14:paraId="00000009">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Course Objective</w:t>
      </w: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In addition to areas covered in Beginning Theatre, students will be exposed to more specific areas of Theatre including but not limited to the following: (Individual assignments will vary at the discretion of the instructor based on appropriate level of rigor)</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Scene Study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Acting Methods and theory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Puppetry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Mask work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Movement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Technical Theatre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Period Theatre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Shakespeare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Commedia Dell’Arte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French Neoclassicism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Analysis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Playwriting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w:t>
      </w: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NCTC Performance</w:t>
      </w:r>
    </w:p>
    <w:p w:rsidR="00000000" w:rsidDel="00000000" w:rsidP="00000000" w:rsidRDefault="00000000" w:rsidRPr="00000000" w14:paraId="0000001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year, the Honors Theatre course will be participating in the North Carolina Theatre Conference High School Play Festival. This will include a field trip over the course of two days (Friday and Saturday) in which the students will compete with other high schools across the region. Two schools are selected from each site to perform their plays at the State High School Play Festival. This field trip and performance is a requirement of the course and will be an invaluable experience for each student’s theatre education. More information will be provided upon availability. </w:t>
      </w:r>
    </w:p>
    <w:p w:rsidR="00000000" w:rsidDel="00000000" w:rsidP="00000000" w:rsidRDefault="00000000" w:rsidRPr="00000000" w14:paraId="0000001C">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Other Course Requirements</w:t>
      </w:r>
    </w:p>
    <w:p w:rsidR="00000000" w:rsidDel="00000000" w:rsidP="00000000" w:rsidRDefault="00000000" w:rsidRPr="00000000" w14:paraId="0000001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all course work, Honors Theatre students must fully participate in at least one other full length show after school, either the fall play or spring musical as an actor or technician. As Honors students, you are the leaders of the department and therefore, participation is vital both for your own education and for the good of the department. </w:t>
      </w:r>
    </w:p>
    <w:p w:rsidR="00000000" w:rsidDel="00000000" w:rsidP="00000000" w:rsidRDefault="00000000" w:rsidRPr="00000000" w14:paraId="0000001F">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year, you will also sign an Honors Contract. Failure to uphold the Honors Theatre Code of Ethics could result in removal of productions and/or the course itself. Please the contract carefully. </w:t>
      </w:r>
    </w:p>
    <w:p w:rsidR="00000000" w:rsidDel="00000000" w:rsidP="00000000" w:rsidRDefault="00000000" w:rsidRPr="00000000" w14:paraId="00000021">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Evaluation</w:t>
      </w:r>
    </w:p>
    <w:tbl>
      <w:tblPr>
        <w:tblStyle w:val="Table1"/>
        <w:tblW w:w="9360.0" w:type="dxa"/>
        <w:jc w:val="left"/>
        <w:tblInd w:w="0.0" w:type="dxa"/>
        <w:tblLayout w:type="fixed"/>
        <w:tblLook w:val="0400"/>
      </w:tblPr>
      <w:tblGrid>
        <w:gridCol w:w="4516"/>
        <w:gridCol w:w="791"/>
        <w:gridCol w:w="4053"/>
        <w:tblGridChange w:id="0">
          <w:tblGrid>
            <w:gridCol w:w="4516"/>
            <w:gridCol w:w="791"/>
            <w:gridCol w:w="4053"/>
          </w:tblGrid>
        </w:tblGridChange>
      </w:tblGrid>
      <w:tr>
        <w:tc>
          <w:tcPr/>
          <w:p w:rsidR="00000000" w:rsidDel="00000000" w:rsidP="00000000" w:rsidRDefault="00000000" w:rsidRPr="00000000" w14:paraId="00000023">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Informal assessments: warm-ups, journal checks, quizzes, group work, in-class tasks, class participation, etc.</w:t>
            </w:r>
          </w:p>
          <w:p w:rsidR="00000000" w:rsidDel="00000000" w:rsidP="00000000" w:rsidRDefault="00000000" w:rsidRPr="00000000" w14:paraId="0000002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Formal assessments: tests, comprehensive writing assignments, projects, performances, etc.                                </w:t>
            </w:r>
          </w:p>
        </w:tc>
        <w:tc>
          <w:tcPr/>
          <w:p w:rsidR="00000000" w:rsidDel="00000000" w:rsidP="00000000" w:rsidRDefault="00000000" w:rsidRPr="00000000" w14:paraId="00000026">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30% of quarter grade (school wide)</w:t>
            </w:r>
          </w:p>
          <w:p w:rsidR="00000000" w:rsidDel="00000000" w:rsidP="00000000" w:rsidRDefault="00000000" w:rsidRPr="00000000" w14:paraId="0000002A">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70% of quarter grade (school wide)</w:t>
            </w:r>
          </w:p>
          <w:p w:rsidR="00000000" w:rsidDel="00000000" w:rsidP="00000000" w:rsidRDefault="00000000" w:rsidRPr="00000000" w14:paraId="0000002D">
            <w:pP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Late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will receive a maximum 75% grade for work showing a concerted effort, if turned in by the beginning of the next class meeting. After this, late work showing concerted effort will receive a 50% grade if turned in prior to the first day of the published exam schedule for each quarter.</w:t>
      </w:r>
    </w:p>
    <w:p w:rsidR="00000000" w:rsidDel="00000000" w:rsidP="00000000" w:rsidRDefault="00000000" w:rsidRPr="00000000" w14:paraId="00000031">
      <w:pPr>
        <w:spacing w:after="0"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Class Fee</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Fonts w:ascii="Cambria" w:cs="Cambria" w:eastAsia="Cambria" w:hAnsi="Cambria"/>
          <w:sz w:val="24"/>
          <w:szCs w:val="24"/>
          <w:rtl w:val="0"/>
        </w:rPr>
        <w:t xml:space="preserve">As with all Fine Arts classes, there is a class fee associated with Proficient, and Advanced Theatre. The fee is $15 per student and can be paid via Online School Payment found on the Hopewell website. From there simply choose the Drama/Theatre option and the funds will be immediately forwarded to the appropriate place. These fees go towards purchasing scripts, building materials, etc. necessary for the class. This year, the fees will specifically go towards purchasing the scripts and royalties for NCTC. If you would like to make a donation of a consumable supply, see Ms. Allemond for details. </w:t>
      </w:r>
      <w:r w:rsidDel="00000000" w:rsidR="00000000" w:rsidRPr="00000000">
        <w:rPr>
          <w:rtl w:val="0"/>
        </w:rPr>
      </w:r>
    </w:p>
    <w:p w:rsidR="00000000" w:rsidDel="00000000" w:rsidP="00000000" w:rsidRDefault="00000000" w:rsidRPr="00000000" w14:paraId="00000034">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Behavior Expectations/Policies</w:t>
      </w:r>
    </w:p>
    <w:p w:rsidR="00000000" w:rsidDel="00000000" w:rsidP="00000000" w:rsidRDefault="00000000" w:rsidRPr="00000000" w14:paraId="00000036">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tbl>
      <w:tblPr>
        <w:tblStyle w:val="Table2"/>
        <w:tblW w:w="4875.0" w:type="dxa"/>
        <w:jc w:val="left"/>
        <w:tblInd w:w="2234.0" w:type="dxa"/>
        <w:tblLayout w:type="fixed"/>
        <w:tblLook w:val="0400"/>
      </w:tblPr>
      <w:tblGrid>
        <w:gridCol w:w="766"/>
        <w:gridCol w:w="4109"/>
        <w:tblGridChange w:id="0">
          <w:tblGrid>
            <w:gridCol w:w="766"/>
            <w:gridCol w:w="4109"/>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7">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8">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Classroom</w:t>
            </w:r>
          </w:p>
        </w:tc>
      </w:tr>
      <w:tr>
        <w:trPr>
          <w:trHeight w:val="94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w:t>
            </w:r>
          </w:p>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Honor</w:t>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 your own work.</w:t>
            </w:r>
          </w:p>
          <w:p w:rsidR="00000000" w:rsidDel="00000000" w:rsidP="00000000" w:rsidRDefault="00000000" w:rsidRPr="00000000" w14:paraId="0000003D">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*Follow “Stop Light” Cell phone policy.</w:t>
            </w:r>
          </w:p>
          <w:p w:rsidR="00000000" w:rsidDel="00000000" w:rsidP="00000000" w:rsidRDefault="00000000" w:rsidRPr="00000000" w14:paraId="0000003E">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 courteous to everyone.</w:t>
            </w:r>
          </w:p>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D</w:t>
            </w:r>
          </w:p>
          <w:p w:rsidR="00000000" w:rsidDel="00000000" w:rsidP="00000000" w:rsidRDefault="00000000" w:rsidRPr="00000000" w14:paraId="00000041">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Duty</w:t>
            </w:r>
          </w:p>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*Arrive on time and prepared.</w:t>
            </w:r>
          </w:p>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*Complete assignments on time.</w:t>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 accountable for your own learning.</w:t>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*Follow all procedures for entering and exiting the room.</w:t>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w:t>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Unity</w:t>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*Work well with other students.</w:t>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*Work together to maintain a clean, organized environment.</w:t>
            </w:r>
          </w:p>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*Follow teachers’ directions.</w:t>
            </w:r>
          </w:p>
        </w:tc>
      </w:tr>
      <w:tr>
        <w:trPr>
          <w:trHeight w:val="36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w:t>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Belief</w:t>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You</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can</w:t>
            </w:r>
            <w:r w:rsidDel="00000000" w:rsidR="00000000" w:rsidRPr="00000000">
              <w:rPr>
                <w:rFonts w:ascii="Times New Roman" w:cs="Times New Roman" w:eastAsia="Times New Roman" w:hAnsi="Times New Roman"/>
                <w:b w:val="1"/>
                <w:sz w:val="20"/>
                <w:szCs w:val="20"/>
                <w:rtl w:val="0"/>
              </w:rPr>
              <w:t xml:space="preserve"> be successful.</w:t>
            </w:r>
          </w:p>
        </w:tc>
      </w:tr>
    </w:tbl>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before="40" w:line="288" w:lineRule="auto"/>
        <w:contextualSpacing w:val="0"/>
        <w:jc w:val="center"/>
        <w:rPr>
          <w:rFonts w:ascii="Cambria" w:cs="Cambria" w:eastAsia="Cambria" w:hAnsi="Cambria"/>
          <w:color w:val="595959"/>
          <w:sz w:val="26"/>
          <w:szCs w:val="26"/>
        </w:rPr>
      </w:pPr>
      <w:r w:rsidDel="00000000" w:rsidR="00000000" w:rsidRPr="00000000">
        <w:rPr>
          <w:rFonts w:ascii="Cambria" w:cs="Cambria" w:eastAsia="Cambria" w:hAnsi="Cambria"/>
          <w:color w:val="595959"/>
          <w:sz w:val="26"/>
          <w:szCs w:val="26"/>
          <w:rtl w:val="0"/>
        </w:rPr>
        <w:t xml:space="preserve">Want to Make a Donation to Hopewell Theatre? Check out our new Amazon Wish List!</w:t>
      </w:r>
    </w:p>
    <w:p w:rsidR="00000000" w:rsidDel="00000000" w:rsidP="00000000" w:rsidRDefault="00000000" w:rsidRPr="00000000" w14:paraId="00000055">
      <w:pPr>
        <w:spacing w:before="40" w:line="288" w:lineRule="auto"/>
        <w:contextualSpacing w:val="0"/>
        <w:jc w:val="center"/>
        <w:rPr>
          <w:rFonts w:ascii="Cambria" w:cs="Cambria" w:eastAsia="Cambria" w:hAnsi="Cambria"/>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Hopewell Theatre Wish List</w:t>
      </w:r>
      <w:r w:rsidDel="00000000" w:rsidR="00000000" w:rsidRPr="00000000">
        <w:rPr>
          <w:rFonts w:ascii="Cambria" w:cs="Cambria" w:eastAsia="Cambria" w:hAnsi="Cambria"/>
          <w:color w:val="111111"/>
          <w:sz w:val="24"/>
          <w:szCs w:val="24"/>
          <w:highlight w:val="white"/>
          <w:rtl w:val="0"/>
        </w:rPr>
        <w:t xml:space="preserve"> </w:t>
      </w:r>
    </w:p>
    <w:p w:rsidR="00000000" w:rsidDel="00000000" w:rsidP="00000000" w:rsidRDefault="00000000" w:rsidRPr="00000000" w14:paraId="00000056">
      <w:pPr>
        <w:spacing w:before="40" w:line="288" w:lineRule="auto"/>
        <w:contextualSpacing w:val="0"/>
        <w:jc w:val="center"/>
        <w:rPr>
          <w:rFonts w:ascii="Cambria" w:cs="Cambria" w:eastAsia="Cambria" w:hAnsi="Cambria"/>
          <w:color w:val="111111"/>
          <w:sz w:val="20"/>
          <w:szCs w:val="20"/>
          <w:highlight w:val="white"/>
        </w:rPr>
      </w:pPr>
      <w:r w:rsidDel="00000000" w:rsidR="00000000" w:rsidRPr="00000000">
        <w:rPr>
          <w:rFonts w:ascii="Cambria" w:cs="Cambria" w:eastAsia="Cambria" w:hAnsi="Cambria"/>
          <w:b w:val="1"/>
          <w:color w:val="111111"/>
          <w:sz w:val="24"/>
          <w:szCs w:val="24"/>
          <w:highlight w:val="white"/>
          <w:rtl w:val="0"/>
        </w:rPr>
        <w:t xml:space="preserve">Link:</w:t>
      </w:r>
      <w:r w:rsidDel="00000000" w:rsidR="00000000" w:rsidRPr="00000000">
        <w:rPr>
          <w:rFonts w:ascii="Cambria" w:cs="Cambria" w:eastAsia="Cambria" w:hAnsi="Cambria"/>
          <w:color w:val="111111"/>
          <w:sz w:val="24"/>
          <w:szCs w:val="24"/>
          <w:highlight w:val="white"/>
          <w:rtl w:val="0"/>
        </w:rPr>
        <w:t xml:space="preserve"> </w:t>
      </w:r>
      <w:hyperlink r:id="rId7">
        <w:r w:rsidDel="00000000" w:rsidR="00000000" w:rsidRPr="00000000">
          <w:rPr>
            <w:rFonts w:ascii="Cambria" w:cs="Cambria" w:eastAsia="Cambria" w:hAnsi="Cambria"/>
            <w:color w:val="1155cc"/>
            <w:sz w:val="24"/>
            <w:szCs w:val="24"/>
            <w:highlight w:val="white"/>
            <w:u w:val="single"/>
            <w:rtl w:val="0"/>
          </w:rPr>
          <w:t xml:space="preserve">http://a.co/6cRkWWc</w:t>
        </w:r>
      </w:hyperlink>
      <w:r w:rsidDel="00000000" w:rsidR="00000000" w:rsidRPr="00000000">
        <w:rPr>
          <w:rtl w:val="0"/>
        </w:rPr>
      </w:r>
    </w:p>
    <w:p w:rsidR="00000000" w:rsidDel="00000000" w:rsidP="00000000" w:rsidRDefault="00000000" w:rsidRPr="00000000" w14:paraId="00000057">
      <w:pPr>
        <w:spacing w:before="40" w:line="288" w:lineRule="auto"/>
        <w:contextualSpacing w:val="0"/>
        <w:jc w:val="center"/>
        <w:rPr>
          <w:rFonts w:ascii="Times New Roman" w:cs="Times New Roman" w:eastAsia="Times New Roman" w:hAnsi="Times New Roman"/>
          <w:b w:val="1"/>
          <w:sz w:val="24"/>
          <w:szCs w:val="24"/>
        </w:rPr>
      </w:pPr>
      <w:r w:rsidDel="00000000" w:rsidR="00000000" w:rsidRPr="00000000">
        <w:rPr>
          <w:rFonts w:ascii="Cambria" w:cs="Cambria" w:eastAsia="Cambria" w:hAnsi="Cambria"/>
          <w:color w:val="111111"/>
          <w:sz w:val="24"/>
          <w:szCs w:val="24"/>
          <w:highlight w:val="white"/>
          <w:rtl w:val="0"/>
        </w:rPr>
        <w:t xml:space="preserve">The items on our Wish List are consumable things that we go through each year that I cannot get through typical means. We go through these materials for each production and any and all donations are greatly appreciated!</w:t>
      </w:r>
      <w:r w:rsidDel="00000000" w:rsidR="00000000" w:rsidRPr="00000000">
        <w:rPr>
          <w:rtl w:val="0"/>
        </w:rPr>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Return this section to teacher:</w:t>
      </w:r>
    </w:p>
    <w:p w:rsidR="00000000" w:rsidDel="00000000" w:rsidP="00000000" w:rsidRDefault="00000000" w:rsidRPr="00000000" w14:paraId="0000005A">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0" w:line="240" w:lineRule="auto"/>
        <w:contextualSpacing w:val="0"/>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read and sign below</w:t>
      </w:r>
    </w:p>
    <w:p w:rsidR="00000000" w:rsidDel="00000000" w:rsidP="00000000" w:rsidRDefault="00000000" w:rsidRPr="00000000" w14:paraId="0000005E">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b w:val="1"/>
          <w:i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I have read the information in the syllabus to include course objectives, course requirements, and policies. I fully understand what I’m expected to do in class. </w:t>
      </w:r>
      <w:r w:rsidDel="00000000" w:rsidR="00000000" w:rsidRPr="00000000">
        <w:rPr>
          <w:rFonts w:ascii="Times New Roman" w:cs="Times New Roman" w:eastAsia="Times New Roman" w:hAnsi="Times New Roman"/>
          <w:b w:val="1"/>
          <w:i w:val="1"/>
          <w:sz w:val="24"/>
          <w:szCs w:val="24"/>
          <w:u w:val="single"/>
          <w:rtl w:val="0"/>
        </w:rPr>
        <w:t xml:space="preserve">I understand that I will be required to participate in the North Carolina Theatre Conference High School Play Festival and will receive a formal grade for my contribution.  </w:t>
      </w:r>
    </w:p>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Student Signature:</w:t>
        <w:tab/>
        <w:tab/>
        <w:t xml:space="preserve"> </w:t>
        <w:tab/>
        <w:t xml:space="preserve">____________________________________</w:t>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Parent / Guardian Signature:</w:t>
        <w:tab/>
        <w:tab/>
        <w:t xml:space="preserve"> ___________________________________</w:t>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Date:</w:t>
        <w:tab/>
        <w:tab/>
        <w:tab/>
        <w:tab/>
        <w:tab/>
        <w:t xml:space="preserve">____________________________________</w:t>
      </w:r>
    </w:p>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i w:val="1"/>
          <w:color w:val="ff0000"/>
          <w:sz w:val="20"/>
          <w:szCs w:val="20"/>
        </w:rPr>
      </w:pPr>
      <w:r w:rsidDel="00000000" w:rsidR="00000000" w:rsidRPr="00000000">
        <w:rPr>
          <w:rtl w:val="0"/>
        </w:rPr>
      </w:r>
    </w:p>
    <w:p w:rsidR="00000000" w:rsidDel="00000000" w:rsidP="00000000" w:rsidRDefault="00000000" w:rsidRPr="00000000" w14:paraId="0000006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tabs>
          <w:tab w:val="left" w:pos="2010"/>
        </w:tabs>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6A">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contextualSpacing w:val="0"/>
        <w:rPr>
          <w:rFonts w:ascii="Arial" w:cs="Arial" w:eastAsia="Arial" w:hAnsi="Arial"/>
          <w:sz w:val="24"/>
          <w:szCs w:val="24"/>
        </w:rPr>
        <w:sectPr>
          <w:headerReference r:id="rId8" w:type="default"/>
          <w:headerReference r:id="rId9" w:type="first"/>
          <w:footerReference r:id="rId10" w:type="first"/>
          <w:pgSz w:h="15840" w:w="12240"/>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6D">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contextualSpacing w:val="0"/>
        <w:jc w:val="center"/>
        <w:rPr>
          <w:rFonts w:ascii="Balthazar" w:cs="Balthazar" w:eastAsia="Balthazar" w:hAnsi="Balthazar"/>
          <w:b w:val="1"/>
          <w:sz w:val="24"/>
          <w:szCs w:val="24"/>
        </w:rPr>
      </w:pPr>
      <w:r w:rsidDel="00000000" w:rsidR="00000000" w:rsidRPr="00000000">
        <w:rPr>
          <w:rtl w:val="0"/>
        </w:rPr>
      </w:r>
    </w:p>
    <w:p w:rsidR="00000000" w:rsidDel="00000000" w:rsidP="00000000" w:rsidRDefault="00000000" w:rsidRPr="00000000" w14:paraId="00000070">
      <w:pPr>
        <w:contextualSpacing w:val="0"/>
        <w:jc w:val="center"/>
        <w:rPr>
          <w:rFonts w:ascii="Balthazar" w:cs="Balthazar" w:eastAsia="Balthazar" w:hAnsi="Balthazar"/>
          <w:b w:val="1"/>
          <w:sz w:val="24"/>
          <w:szCs w:val="24"/>
        </w:rPr>
      </w:pPr>
      <w:r w:rsidDel="00000000" w:rsidR="00000000" w:rsidRPr="00000000">
        <w:rPr>
          <w:rtl w:val="0"/>
        </w:rPr>
      </w:r>
    </w:p>
    <w:p w:rsidR="00000000" w:rsidDel="00000000" w:rsidP="00000000" w:rsidRDefault="00000000" w:rsidRPr="00000000" w14:paraId="00000071">
      <w:pPr>
        <w:contextualSpacing w:val="0"/>
        <w:jc w:val="center"/>
        <w:rPr>
          <w:rFonts w:ascii="Balthazar" w:cs="Balthazar" w:eastAsia="Balthazar" w:hAnsi="Balthazar"/>
          <w:b w:val="1"/>
          <w:sz w:val="40"/>
          <w:szCs w:val="40"/>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Balthaz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contextualSpacing w:val="0"/>
      <w:jc w:val="right"/>
      <w:rPr/>
    </w:pPr>
    <w:r w:rsidDel="00000000" w:rsidR="00000000" w:rsidRPr="00000000">
      <w:rPr/>
      <w:drawing>
        <wp:inline distB="114300" distT="114300" distL="114300" distR="114300">
          <wp:extent cx="1004888" cy="97997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04888" cy="97997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Lilianv.allemond@cms.k12.nc.us" TargetMode="External"/><Relationship Id="rId7" Type="http://schemas.openxmlformats.org/officeDocument/2006/relationships/hyperlink" Target="http://a.co/6cRkWWc"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